
<file path=[Content_Types].xml><?xml version="1.0" encoding="utf-8"?>
<Types xmlns="http://schemas.openxmlformats.org/package/2006/content-types">
  <Default Extension="xml" ContentType="application/xm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5E233">
      <w:pPr>
        <w:spacing w:line="276" w:lineRule="auto"/>
        <w:jc w:val="center"/>
        <w:rPr>
          <w:color w:val="050505"/>
          <w:sz w:val="16"/>
          <w:szCs w:val="16"/>
        </w:rPr>
      </w:pPr>
      <w:r>
        <w:rPr>
          <w:b/>
          <w:bCs/>
          <w:color w:val="050505"/>
        </w:rPr>
        <w:t>COMBINE WILL INTERNATIONAL HOLDINGS LIMITED</w:t>
      </w:r>
      <w:r>
        <w:rPr>
          <w:b/>
          <w:bCs/>
          <w:color w:val="050505"/>
        </w:rPr>
        <w:br w:type="textWrapping"/>
      </w:r>
      <w:r>
        <w:rPr>
          <w:color w:val="0D0D0D"/>
          <w:sz w:val="16"/>
          <w:szCs w:val="16"/>
        </w:rPr>
        <w:t>聯志國際控股有限公司</w:t>
      </w:r>
      <w:r>
        <w:rPr>
          <w:sz w:val="16"/>
          <w:szCs w:val="16"/>
        </w:rPr>
        <w:br w:type="textWrapping"/>
      </w:r>
      <w:r>
        <w:rPr>
          <w:color w:val="050505"/>
          <w:sz w:val="16"/>
          <w:szCs w:val="16"/>
        </w:rPr>
        <w:t>(Incorporated in the Cayman Islands on 8 October 2007)</w:t>
      </w:r>
      <w:r>
        <w:rPr>
          <w:color w:val="050505"/>
          <w:sz w:val="16"/>
          <w:szCs w:val="16"/>
        </w:rPr>
        <w:br w:type="textWrapping"/>
      </w:r>
      <w:r>
        <w:rPr>
          <w:color w:val="050505"/>
          <w:sz w:val="16"/>
          <w:szCs w:val="16"/>
        </w:rPr>
        <w:t>(Company Registration Number: MC-196613)</w:t>
      </w:r>
    </w:p>
    <w:p w14:paraId="2173674A">
      <w:pPr>
        <w:spacing w:line="276" w:lineRule="auto"/>
        <w:jc w:val="center"/>
        <w:rPr>
          <w:color w:val="050505"/>
          <w:sz w:val="16"/>
          <w:szCs w:val="16"/>
        </w:rPr>
      </w:pPr>
    </w:p>
    <w:tbl>
      <w:tblPr>
        <w:tblStyle w:val="1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19"/>
      </w:tblGrid>
      <w:tr w14:paraId="073A7A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919" w:type="dxa"/>
          </w:tcPr>
          <w:p w14:paraId="634E5487">
            <w:pPr>
              <w:spacing w:line="276" w:lineRule="auto"/>
              <w:jc w:val="center"/>
              <w:rPr>
                <w:b/>
                <w:lang w:eastAsia="zh-TW"/>
              </w:rPr>
            </w:pPr>
            <w:r>
              <w:rPr>
                <w:b/>
                <w:lang w:eastAsia="zh-TW"/>
              </w:rPr>
              <w:br w:type="textWrapping"/>
            </w:r>
            <w:r>
              <w:rPr>
                <w:b/>
                <w:lang w:eastAsia="zh-TW"/>
              </w:rPr>
              <w:t>VARIANCES BETWEEN UNAUDITED FINANCIAL STATEMENTS AND AUDITED</w:t>
            </w:r>
          </w:p>
          <w:p w14:paraId="4F0DA64B">
            <w:pPr>
              <w:spacing w:line="276" w:lineRule="auto"/>
              <w:jc w:val="center"/>
              <w:rPr>
                <w:b/>
                <w:lang w:eastAsia="zh-TW"/>
              </w:rPr>
            </w:pPr>
            <w:r>
              <w:rPr>
                <w:b/>
                <w:lang w:eastAsia="zh-TW"/>
              </w:rPr>
              <w:t>FINANCIAL STATEMENTS FOR THE FINANCIAL YEAR ENDED 31 DECEMBER 202</w:t>
            </w:r>
            <w:r>
              <w:rPr>
                <w:rFonts w:eastAsia="宋体"/>
                <w:b/>
                <w:lang w:eastAsia="zh-TW"/>
              </w:rPr>
              <w:t>4</w:t>
            </w:r>
          </w:p>
          <w:p w14:paraId="59B1709F">
            <w:pPr>
              <w:spacing w:line="276" w:lineRule="auto"/>
              <w:jc w:val="both"/>
              <w:rPr>
                <w:b/>
                <w:lang w:eastAsia="zh-TW"/>
              </w:rPr>
            </w:pPr>
          </w:p>
        </w:tc>
      </w:tr>
    </w:tbl>
    <w:p w14:paraId="6983DC4F">
      <w:pPr>
        <w:spacing w:line="276" w:lineRule="auto"/>
        <w:jc w:val="center"/>
        <w:rPr>
          <w:b/>
        </w:rPr>
      </w:pPr>
    </w:p>
    <w:p w14:paraId="02A7A443">
      <w:pPr>
        <w:spacing w:line="276" w:lineRule="auto"/>
        <w:jc w:val="both"/>
      </w:pPr>
      <w:r>
        <w:t>The board of directors (the “</w:t>
      </w:r>
      <w:r>
        <w:rPr>
          <w:b/>
        </w:rPr>
        <w:t>Board</w:t>
      </w:r>
      <w:r>
        <w:t>”) of Combine Will International Holdings Limited (the “</w:t>
      </w:r>
      <w:r>
        <w:rPr>
          <w:b/>
        </w:rPr>
        <w:t>Company</w:t>
      </w:r>
      <w:r>
        <w:t>”, and together with its subsidiaries, the “</w:t>
      </w:r>
      <w:r>
        <w:rPr>
          <w:b/>
        </w:rPr>
        <w:t>Group</w:t>
      </w:r>
      <w:r>
        <w:t>”) refers to the Company’s unaudited full year financial statements and dividend announcement for the financial year ended 31 December 202</w:t>
      </w:r>
      <w:r>
        <w:rPr>
          <w:rFonts w:eastAsia="宋体"/>
        </w:rPr>
        <w:t>4</w:t>
      </w:r>
      <w:r>
        <w:t xml:space="preserve"> dated </w:t>
      </w:r>
      <w:r>
        <w:rPr>
          <w:rFonts w:eastAsia="宋体"/>
        </w:rPr>
        <w:t>1</w:t>
      </w:r>
      <w:r>
        <w:t xml:space="preserve"> </w:t>
      </w:r>
      <w:r>
        <w:rPr>
          <w:rFonts w:eastAsia="宋体"/>
        </w:rPr>
        <w:t>March</w:t>
      </w:r>
      <w:r>
        <w:t xml:space="preserve"> 2024 (the “</w:t>
      </w:r>
      <w:r>
        <w:rPr>
          <w:b/>
          <w:bCs/>
        </w:rPr>
        <w:t>Unaudited Financial Statements</w:t>
      </w:r>
      <w:r>
        <w:t>”) released via SGXNet.</w:t>
      </w:r>
    </w:p>
    <w:p w14:paraId="74553E7B">
      <w:pPr>
        <w:spacing w:line="276" w:lineRule="auto"/>
        <w:jc w:val="both"/>
      </w:pPr>
    </w:p>
    <w:p w14:paraId="054AF1F8">
      <w:pPr>
        <w:spacing w:line="276" w:lineRule="auto"/>
        <w:jc w:val="both"/>
        <w:rPr>
          <w:i/>
          <w:iCs/>
        </w:rPr>
      </w:pPr>
      <w:r>
        <w:rPr>
          <w:i/>
          <w:iCs/>
        </w:rPr>
        <w:t>Unless otherwise defined or the context otherwise requires, all terms used herein shall have the same meanings as defined in the Unaudited Financial Statements.</w:t>
      </w:r>
    </w:p>
    <w:p w14:paraId="27317643">
      <w:pPr>
        <w:spacing w:line="276" w:lineRule="auto"/>
        <w:jc w:val="both"/>
      </w:pPr>
    </w:p>
    <w:p w14:paraId="2F92A08A">
      <w:pPr>
        <w:spacing w:line="276" w:lineRule="auto"/>
        <w:jc w:val="both"/>
        <w:rPr>
          <w:rFonts w:eastAsia="宋体"/>
        </w:rPr>
      </w:pPr>
      <w:r>
        <w:t>Pursuant to Rule 704(6) of the Listing Manual of the Singapore Exchange Securities Trading Limited (the “</w:t>
      </w:r>
      <w:r>
        <w:rPr>
          <w:b/>
          <w:bCs/>
        </w:rPr>
        <w:t>SGX-ST</w:t>
      </w:r>
      <w:r>
        <w:t xml:space="preserve">”), the Board wishes to announce and clarify certain variances to the Unaudited Financial Statements following the finalisation of the audit and issuance of the auditor’s report dated </w:t>
      </w:r>
      <w:r>
        <w:rPr>
          <w:rFonts w:eastAsia="宋体"/>
          <w:color w:val="000000" w:themeColor="text1"/>
          <w14:textFill>
            <w14:solidFill>
              <w14:schemeClr w14:val="tx1"/>
            </w14:solidFill>
          </w14:textFill>
        </w:rPr>
        <w:t>9 April</w:t>
      </w:r>
      <w:r>
        <w:rPr>
          <w:color w:val="000000" w:themeColor="text1"/>
          <w14:textFill>
            <w14:solidFill>
              <w14:schemeClr w14:val="tx1"/>
            </w14:solidFill>
          </w14:textFill>
        </w:rPr>
        <w:t xml:space="preserve"> </w:t>
      </w:r>
      <w:r>
        <w:t>202</w:t>
      </w:r>
      <w:r>
        <w:rPr>
          <w:rFonts w:eastAsia="宋体"/>
        </w:rPr>
        <w:t>5</w:t>
      </w:r>
      <w:r>
        <w:t xml:space="preserve"> by the Company’s joint external auditors, Messrs RSM SG Assurance LLP and Messrs RSM Hong Kong (the “</w:t>
      </w:r>
      <w:r>
        <w:rPr>
          <w:b/>
          <w:bCs/>
        </w:rPr>
        <w:t>Independent Auditors’ Report</w:t>
      </w:r>
      <w:r>
        <w:t>”, and the related audited financial statements are referred to herein as the “</w:t>
      </w:r>
      <w:r>
        <w:rPr>
          <w:b/>
          <w:bCs/>
        </w:rPr>
        <w:t>Audited Financial Statements</w:t>
      </w:r>
      <w:r>
        <w:t xml:space="preserve">”).  The variances arose due to the adoption of new accountings standards on disclosure pursuant to which certain items were reclassified to present </w:t>
      </w:r>
      <w:r>
        <w:rPr>
          <w:rFonts w:eastAsia="宋体"/>
          <w:sz w:val="22"/>
          <w:szCs w:val="22"/>
        </w:rPr>
        <w:t>supplier fina</w:t>
      </w:r>
      <w:bookmarkStart w:id="0" w:name="_GoBack"/>
      <w:bookmarkEnd w:id="0"/>
      <w:r>
        <w:rPr>
          <w:rFonts w:eastAsia="宋体"/>
          <w:sz w:val="22"/>
          <w:szCs w:val="22"/>
        </w:rPr>
        <w:t>nce arrangements</w:t>
      </w:r>
      <w:r>
        <w:t>.</w:t>
      </w:r>
      <w:r>
        <w:rPr>
          <w:rFonts w:hint="eastAsia" w:eastAsia="宋体"/>
        </w:rPr>
        <w:t xml:space="preserve"> </w:t>
      </w:r>
      <w:r>
        <w:t>As the new accounting standards are adopted in FY2024, FY2023 results are also re-presented for consistency.  These reclassifications, however, do not have any material impact on the financial results</w:t>
      </w:r>
      <w:r>
        <w:rPr>
          <w:rFonts w:hint="eastAsia" w:eastAsia="宋体"/>
        </w:rPr>
        <w:t xml:space="preserve"> </w:t>
      </w:r>
      <w:r>
        <w:t xml:space="preserve">of the Company for both FY2023 and FY2024.   The details and explanations of the variances are set out in Appendix A as annexed hereto. </w:t>
      </w:r>
    </w:p>
    <w:p w14:paraId="27258A74">
      <w:pPr>
        <w:spacing w:line="276" w:lineRule="auto"/>
        <w:jc w:val="both"/>
      </w:pPr>
    </w:p>
    <w:p w14:paraId="663D4015">
      <w:pPr>
        <w:spacing w:line="276" w:lineRule="auto"/>
        <w:jc w:val="both"/>
      </w:pPr>
      <w:r>
        <w:t>With regard to the Audited Financial Statements and this announcement, shareholders of the Company (the “</w:t>
      </w:r>
      <w:r>
        <w:rPr>
          <w:b/>
          <w:bCs/>
        </w:rPr>
        <w:t>Shareholders</w:t>
      </w:r>
      <w:r>
        <w:t xml:space="preserve">”) are advised to read both in conjunction with the Independent Auditors’ Report released by the Company in the announcement dated </w:t>
      </w:r>
      <w:r>
        <w:rPr>
          <w:rFonts w:eastAsia="宋体"/>
          <w:color w:val="000000" w:themeColor="text1"/>
          <w14:textFill>
            <w14:solidFill>
              <w14:schemeClr w14:val="tx1"/>
            </w14:solidFill>
          </w14:textFill>
        </w:rPr>
        <w:t>9 April</w:t>
      </w:r>
      <w:r>
        <w:rPr>
          <w:color w:val="000000" w:themeColor="text1"/>
          <w14:textFill>
            <w14:solidFill>
              <w14:schemeClr w14:val="tx1"/>
            </w14:solidFill>
          </w14:textFill>
        </w:rPr>
        <w:t xml:space="preserve"> </w:t>
      </w:r>
      <w:r>
        <w:t>202</w:t>
      </w:r>
      <w:r>
        <w:rPr>
          <w:rFonts w:eastAsia="宋体"/>
        </w:rPr>
        <w:t>5</w:t>
      </w:r>
      <w:r>
        <w:t>.</w:t>
      </w:r>
    </w:p>
    <w:p w14:paraId="56D04B75">
      <w:pPr>
        <w:spacing w:line="276" w:lineRule="auto"/>
        <w:jc w:val="both"/>
      </w:pPr>
    </w:p>
    <w:p w14:paraId="0FEB9B94">
      <w:pPr>
        <w:spacing w:line="276" w:lineRule="auto"/>
        <w:jc w:val="both"/>
      </w:pPr>
      <w:r>
        <w:t>Shareholders are advised to exercise caution when dealing in the shares of the Company. Persons who are in doubt as to the action they should take should consult their stockbrokers, bank managers, solicitors, accountants or other professional advisers.</w:t>
      </w:r>
    </w:p>
    <w:p w14:paraId="5CBC2899">
      <w:pPr>
        <w:spacing w:line="276" w:lineRule="auto"/>
        <w:jc w:val="both"/>
      </w:pPr>
    </w:p>
    <w:p w14:paraId="396E5963">
      <w:pPr>
        <w:spacing w:line="276" w:lineRule="auto"/>
        <w:jc w:val="both"/>
      </w:pPr>
      <w:r>
        <w:t>The Board confirms that to the best of its knowledge, all material disclosures, facts and information have been provided and announced and are not aware of any facts, information or disclosures, the omission of which would make any statement in this announcement or disclosures misleading.</w:t>
      </w:r>
    </w:p>
    <w:p w14:paraId="596802B4">
      <w:pPr>
        <w:spacing w:line="276" w:lineRule="auto"/>
        <w:jc w:val="both"/>
      </w:pPr>
    </w:p>
    <w:p w14:paraId="063CA822">
      <w:pPr>
        <w:spacing w:line="276" w:lineRule="auto"/>
        <w:jc w:val="both"/>
      </w:pPr>
    </w:p>
    <w:p w14:paraId="600AD3AD">
      <w:pPr>
        <w:spacing w:line="276" w:lineRule="auto"/>
        <w:jc w:val="both"/>
      </w:pPr>
      <w:r>
        <w:t xml:space="preserve">On behalf of the Board </w:t>
      </w:r>
    </w:p>
    <w:p w14:paraId="1A677DF3">
      <w:pPr>
        <w:spacing w:line="276" w:lineRule="auto"/>
        <w:jc w:val="both"/>
      </w:pPr>
    </w:p>
    <w:p w14:paraId="0F578E8D">
      <w:pPr>
        <w:spacing w:line="276" w:lineRule="auto"/>
        <w:jc w:val="both"/>
        <w:rPr>
          <w:rFonts w:eastAsia="宋体"/>
        </w:rPr>
      </w:pPr>
      <w:r>
        <w:rPr>
          <w:rFonts w:eastAsia="宋体"/>
        </w:rPr>
        <w:t>Chiu Hau Shun Simon</w:t>
      </w:r>
    </w:p>
    <w:p w14:paraId="2D045E56">
      <w:pPr>
        <w:spacing w:line="276" w:lineRule="auto"/>
        <w:jc w:val="both"/>
        <w:rPr>
          <w:rFonts w:eastAsia="宋体"/>
        </w:rPr>
      </w:pPr>
      <w:r>
        <w:rPr>
          <w:rFonts w:eastAsia="宋体"/>
        </w:rPr>
        <w:t>Chief Executive Officer</w:t>
      </w:r>
    </w:p>
    <w:p w14:paraId="1BA3DC0A">
      <w:pPr>
        <w:spacing w:line="276" w:lineRule="auto"/>
        <w:jc w:val="both"/>
        <w:rPr>
          <w:rFonts w:eastAsia="宋体"/>
        </w:rPr>
      </w:pPr>
    </w:p>
    <w:p w14:paraId="783D3A74">
      <w:pPr>
        <w:spacing w:line="276" w:lineRule="auto"/>
        <w:jc w:val="both"/>
        <w:rPr>
          <w:rFonts w:eastAsia="宋体"/>
        </w:rPr>
        <w:sectPr>
          <w:pgSz w:w="11907" w:h="16839"/>
          <w:pgMar w:top="1440" w:right="1440" w:bottom="1440" w:left="1440" w:header="720" w:footer="720" w:gutter="0"/>
          <w:cols w:space="720" w:num="1"/>
          <w:titlePg/>
          <w:docGrid w:linePitch="360" w:charSpace="0"/>
        </w:sectPr>
      </w:pPr>
      <w:r>
        <w:rPr>
          <w:rFonts w:eastAsia="宋体"/>
          <w:color w:val="000000" w:themeColor="text1"/>
          <w14:textFill>
            <w14:solidFill>
              <w14:schemeClr w14:val="tx1"/>
            </w14:solidFill>
          </w14:textFill>
        </w:rPr>
        <w:t>9 April</w:t>
      </w:r>
      <w:r>
        <w:rPr>
          <w:rFonts w:eastAsia="宋体"/>
        </w:rPr>
        <w:t xml:space="preserve"> 2025</w:t>
      </w:r>
    </w:p>
    <w:p w14:paraId="5FF877A3">
      <w:pPr>
        <w:spacing w:line="276" w:lineRule="auto"/>
        <w:jc w:val="both"/>
        <w:rPr>
          <w:rFonts w:eastAsia="宋体"/>
          <w:b/>
          <w:bCs/>
          <w:sz w:val="16"/>
          <w:szCs w:val="16"/>
        </w:rPr>
      </w:pPr>
      <w:r>
        <w:rPr>
          <w:rFonts w:eastAsia="宋体"/>
          <w:b/>
          <w:bCs/>
          <w:sz w:val="16"/>
          <w:szCs w:val="16"/>
        </w:rPr>
        <w:t>Appendix A</w:t>
      </w:r>
    </w:p>
    <w:p w14:paraId="5A12A006">
      <w:pPr>
        <w:spacing w:line="276" w:lineRule="auto"/>
        <w:jc w:val="both"/>
        <w:rPr>
          <w:rFonts w:eastAsia="宋体"/>
          <w:b/>
          <w:bCs/>
          <w:sz w:val="16"/>
          <w:szCs w:val="16"/>
        </w:rPr>
      </w:pPr>
    </w:p>
    <w:p w14:paraId="1791F108">
      <w:pPr>
        <w:spacing w:line="276" w:lineRule="auto"/>
        <w:jc w:val="both"/>
        <w:rPr>
          <w:rFonts w:eastAsia="宋体"/>
          <w:b/>
          <w:bCs/>
          <w:sz w:val="16"/>
          <w:szCs w:val="16"/>
        </w:rPr>
      </w:pPr>
      <w:r>
        <w:rPr>
          <w:rFonts w:eastAsia="宋体"/>
          <w:b/>
          <w:bCs/>
          <w:sz w:val="16"/>
          <w:szCs w:val="16"/>
        </w:rPr>
        <w:t>COMBINE WILL INTERNATIONAL HOLDINGS LIMITED</w:t>
      </w:r>
    </w:p>
    <w:p w14:paraId="54D87421">
      <w:pPr>
        <w:spacing w:line="276" w:lineRule="auto"/>
        <w:jc w:val="both"/>
        <w:rPr>
          <w:rFonts w:eastAsia="宋体"/>
          <w:b/>
          <w:bCs/>
          <w:sz w:val="16"/>
          <w:szCs w:val="16"/>
        </w:rPr>
      </w:pPr>
      <w:r>
        <w:rPr>
          <w:rFonts w:eastAsia="宋体"/>
          <w:b/>
          <w:bCs/>
          <w:sz w:val="16"/>
          <w:szCs w:val="16"/>
        </w:rPr>
        <w:t>STATEMENTS OF FINANCIAL POSITION AND CASH FLOWS</w:t>
      </w:r>
    </w:p>
    <w:p w14:paraId="0EEC06FC">
      <w:pPr>
        <w:spacing w:line="276" w:lineRule="auto"/>
        <w:jc w:val="both"/>
        <w:rPr>
          <w:rFonts w:eastAsia="宋体"/>
          <w:b/>
          <w:bCs/>
          <w:sz w:val="16"/>
          <w:szCs w:val="16"/>
        </w:rPr>
      </w:pPr>
      <w:r>
        <w:rPr>
          <w:rFonts w:eastAsia="宋体"/>
          <w:b/>
          <w:bCs/>
          <w:sz w:val="16"/>
          <w:szCs w:val="16"/>
        </w:rPr>
        <w:t>AT 31 DECEMBER 2024</w:t>
      </w:r>
    </w:p>
    <w:p w14:paraId="0FD4A1BB">
      <w:pPr>
        <w:spacing w:line="276" w:lineRule="auto"/>
        <w:jc w:val="both"/>
        <w:rPr>
          <w:rFonts w:eastAsia="宋体"/>
        </w:rPr>
      </w:pPr>
    </w:p>
    <w:p w14:paraId="6B4D2E8A">
      <w:pPr>
        <w:spacing w:line="276" w:lineRule="auto"/>
        <w:jc w:val="both"/>
        <w:rPr>
          <w:rFonts w:eastAsia="宋体"/>
        </w:rPr>
      </w:pPr>
      <w:r>
        <w:rPr>
          <w:rFonts w:eastAsia="宋体"/>
        </w:rPr>
        <w:pict>
          <v:shape id="_x0000_i1025" o:spt="75" type="#_x0000_t75" style="height:378pt;width:632.4pt;" filled="f" o:preferrelative="t" stroked="f" coordsize="21600,21600">
            <v:path/>
            <v:fill on="f" focussize="0,0"/>
            <v:stroke on="f" joinstyle="miter"/>
            <v:imagedata r:id="rId4" o:title=""/>
            <o:lock v:ext="edit" aspectratio="t"/>
            <w10:wrap type="none"/>
            <w10:anchorlock/>
          </v:shape>
        </w:pict>
      </w:r>
    </w:p>
    <w:p w14:paraId="0AFF5966">
      <w:pPr>
        <w:spacing w:line="276" w:lineRule="auto"/>
        <w:jc w:val="both"/>
        <w:rPr>
          <w:rFonts w:eastAsia="宋体"/>
          <w:b/>
          <w:bCs/>
          <w:sz w:val="16"/>
          <w:szCs w:val="16"/>
        </w:rPr>
      </w:pPr>
    </w:p>
    <w:p w14:paraId="01155BE0">
      <w:pPr>
        <w:spacing w:line="276" w:lineRule="auto"/>
        <w:jc w:val="both"/>
        <w:rPr>
          <w:rFonts w:eastAsia="宋体"/>
          <w:b/>
          <w:bCs/>
          <w:sz w:val="16"/>
          <w:szCs w:val="16"/>
        </w:rPr>
      </w:pPr>
    </w:p>
    <w:p w14:paraId="2B724E3C">
      <w:pPr>
        <w:spacing w:line="276" w:lineRule="auto"/>
        <w:jc w:val="both"/>
        <w:rPr>
          <w:rFonts w:eastAsia="宋体"/>
          <w:b/>
          <w:bCs/>
          <w:sz w:val="16"/>
          <w:szCs w:val="16"/>
        </w:rPr>
      </w:pPr>
    </w:p>
    <w:p w14:paraId="5B300D91">
      <w:pPr>
        <w:spacing w:line="276" w:lineRule="auto"/>
        <w:jc w:val="both"/>
        <w:rPr>
          <w:rFonts w:eastAsia="宋体"/>
          <w:b/>
          <w:bCs/>
          <w:sz w:val="16"/>
          <w:szCs w:val="16"/>
        </w:rPr>
      </w:pPr>
    </w:p>
    <w:p w14:paraId="5D855ABD">
      <w:pPr>
        <w:spacing w:line="276" w:lineRule="auto"/>
        <w:jc w:val="both"/>
        <w:rPr>
          <w:rFonts w:eastAsia="宋体"/>
          <w:b/>
          <w:bCs/>
          <w:sz w:val="16"/>
          <w:szCs w:val="16"/>
        </w:rPr>
      </w:pPr>
      <w:r>
        <w:rPr>
          <w:rFonts w:eastAsia="宋体"/>
          <w:b/>
          <w:bCs/>
          <w:sz w:val="16"/>
          <w:szCs w:val="16"/>
        </w:rPr>
        <w:t>Appendix A</w:t>
      </w:r>
    </w:p>
    <w:p w14:paraId="5FF6EBC3">
      <w:pPr>
        <w:spacing w:line="276" w:lineRule="auto"/>
        <w:jc w:val="both"/>
        <w:rPr>
          <w:rFonts w:eastAsia="宋体"/>
          <w:b/>
          <w:bCs/>
          <w:sz w:val="16"/>
          <w:szCs w:val="16"/>
        </w:rPr>
      </w:pPr>
    </w:p>
    <w:p w14:paraId="1EBF6F49">
      <w:pPr>
        <w:spacing w:line="276" w:lineRule="auto"/>
        <w:jc w:val="both"/>
        <w:rPr>
          <w:rFonts w:eastAsia="宋体"/>
          <w:b/>
          <w:bCs/>
          <w:sz w:val="16"/>
          <w:szCs w:val="16"/>
        </w:rPr>
      </w:pPr>
      <w:r>
        <w:rPr>
          <w:rFonts w:eastAsia="宋体"/>
          <w:b/>
          <w:bCs/>
          <w:sz w:val="16"/>
          <w:szCs w:val="16"/>
        </w:rPr>
        <w:t>COMBINE WILL INTERNATIONAL HOLDINGS LIMITED</w:t>
      </w:r>
    </w:p>
    <w:p w14:paraId="311CF606">
      <w:pPr>
        <w:spacing w:line="276" w:lineRule="auto"/>
        <w:jc w:val="both"/>
        <w:rPr>
          <w:rFonts w:eastAsia="宋体"/>
          <w:b/>
          <w:bCs/>
          <w:sz w:val="16"/>
          <w:szCs w:val="16"/>
        </w:rPr>
      </w:pPr>
      <w:r>
        <w:rPr>
          <w:rFonts w:eastAsia="宋体"/>
          <w:b/>
          <w:bCs/>
          <w:sz w:val="16"/>
          <w:szCs w:val="16"/>
        </w:rPr>
        <w:t>STATEMENTS OF FINANCIAL POSITION AND CASH FLOWS</w:t>
      </w:r>
    </w:p>
    <w:p w14:paraId="3F1707FD">
      <w:pPr>
        <w:spacing w:line="276" w:lineRule="auto"/>
        <w:jc w:val="both"/>
        <w:rPr>
          <w:rFonts w:eastAsia="宋体"/>
          <w:b/>
          <w:bCs/>
          <w:sz w:val="16"/>
          <w:szCs w:val="16"/>
        </w:rPr>
      </w:pPr>
      <w:r>
        <w:rPr>
          <w:rFonts w:eastAsia="宋体"/>
          <w:b/>
          <w:bCs/>
          <w:sz w:val="16"/>
          <w:szCs w:val="16"/>
        </w:rPr>
        <w:t>AT 31 DECEMBER 2024</w:t>
      </w:r>
    </w:p>
    <w:p w14:paraId="719A5D82">
      <w:pPr>
        <w:spacing w:line="276" w:lineRule="auto"/>
        <w:jc w:val="both"/>
        <w:rPr>
          <w:rFonts w:eastAsia="宋体"/>
        </w:rPr>
      </w:pPr>
    </w:p>
    <w:p w14:paraId="4A0233F2">
      <w:pPr>
        <w:spacing w:line="276" w:lineRule="auto"/>
        <w:jc w:val="both"/>
        <w:rPr>
          <w:rFonts w:eastAsia="宋体"/>
        </w:rPr>
      </w:pPr>
      <w:r>
        <w:rPr>
          <w:rFonts w:eastAsia="宋体"/>
        </w:rPr>
        <w:object>
          <v:shape id="_x0000_i1026" o:spt="75" type="#_x0000_t75" style="height:169.8pt;width:632.4pt;" o:ole="t" filled="f" o:preferrelative="t" stroked="f" coordsize="21600,21600">
            <v:path/>
            <v:fill on="f" focussize="0,0"/>
            <v:stroke on="f" joinstyle="miter"/>
            <v:imagedata r:id="rId6" o:title=""/>
            <o:lock v:ext="edit" aspectratio="t"/>
            <w10:wrap type="none"/>
            <w10:anchorlock/>
          </v:shape>
          <o:OLEObject Type="Embed" ProgID="Excel.Sheet.12" ShapeID="_x0000_i1026" DrawAspect="Content" ObjectID="_1468075725" r:id="rId5">
            <o:LockedField>false</o:LockedField>
          </o:OLEObject>
        </w:object>
      </w:r>
    </w:p>
    <w:p w14:paraId="518F9E29">
      <w:pPr>
        <w:spacing w:line="276" w:lineRule="auto"/>
        <w:jc w:val="both"/>
        <w:rPr>
          <w:rFonts w:eastAsia="宋体"/>
        </w:rPr>
      </w:pPr>
    </w:p>
    <w:p w14:paraId="0DB35D2B">
      <w:pPr>
        <w:spacing w:line="276" w:lineRule="auto"/>
        <w:jc w:val="both"/>
        <w:rPr>
          <w:rFonts w:eastAsia="宋体"/>
        </w:rPr>
      </w:pPr>
    </w:p>
    <w:p w14:paraId="3509FF08">
      <w:pPr>
        <w:spacing w:line="276" w:lineRule="auto"/>
        <w:jc w:val="both"/>
        <w:rPr>
          <w:rFonts w:eastAsia="宋体"/>
        </w:rPr>
      </w:pPr>
    </w:p>
    <w:p w14:paraId="5B89A986">
      <w:pPr>
        <w:spacing w:line="276" w:lineRule="auto"/>
        <w:jc w:val="both"/>
        <w:rPr>
          <w:rFonts w:eastAsia="宋体"/>
        </w:rPr>
      </w:pPr>
    </w:p>
    <w:p w14:paraId="4B396ECB">
      <w:pPr>
        <w:spacing w:line="276" w:lineRule="auto"/>
        <w:jc w:val="both"/>
        <w:rPr>
          <w:b/>
          <w:bCs/>
          <w:sz w:val="22"/>
          <w:szCs w:val="22"/>
          <w:u w:val="single"/>
        </w:rPr>
      </w:pPr>
      <w:r>
        <w:rPr>
          <w:b/>
          <w:bCs/>
          <w:sz w:val="22"/>
          <w:szCs w:val="22"/>
          <w:u w:val="single"/>
        </w:rPr>
        <w:t>Notes</w:t>
      </w:r>
    </w:p>
    <w:p w14:paraId="755C37E9">
      <w:pPr>
        <w:pStyle w:val="50"/>
        <w:ind w:left="360"/>
        <w:rPr>
          <w:rFonts w:eastAsia="宋体"/>
          <w:sz w:val="22"/>
          <w:szCs w:val="22"/>
        </w:rPr>
      </w:pPr>
    </w:p>
    <w:p w14:paraId="6DD9E180">
      <w:pPr>
        <w:pStyle w:val="50"/>
        <w:numPr>
          <w:ilvl w:val="0"/>
          <w:numId w:val="1"/>
        </w:numPr>
        <w:jc w:val="both"/>
        <w:rPr>
          <w:rFonts w:eastAsia="宋体"/>
          <w:sz w:val="22"/>
          <w:szCs w:val="22"/>
        </w:rPr>
      </w:pPr>
      <w:r>
        <w:rPr>
          <w:rFonts w:eastAsia="宋体"/>
          <w:sz w:val="22"/>
          <w:szCs w:val="22"/>
        </w:rPr>
        <w:t>Upon the adoption of the amendments to IAS 7 and IFRS 7, the Group has reassessed the nature and function of bills payable and determined these amounts to be part of its financing activities rather than working capital used in its normal operating cycle. Accordingly, bills payables are presented as supplier finance arrangements within borrowings, with the related cash flows classified under financing activities to provide more relevant and reliable information. Comparative figures in the statement of financial position and the consolidated statement of cash flows have been re-presented to align with this presentation. The above reclassification did not require modifications to consolidated financial statements measurements. As permitted by the financial reporting standards on the presentation of consolidated financial statements, the third statement of financial position at the beginning of the preceding reporting year is not presented because above reclassifications have no material effect on the information in the statement of financial position at the beginning of the preceding period.</w:t>
      </w:r>
    </w:p>
    <w:p w14:paraId="5AACCF14">
      <w:pPr>
        <w:pStyle w:val="50"/>
        <w:ind w:left="360"/>
        <w:jc w:val="both"/>
        <w:rPr>
          <w:rFonts w:eastAsia="宋体"/>
          <w:sz w:val="22"/>
          <w:szCs w:val="22"/>
        </w:rPr>
      </w:pPr>
    </w:p>
    <w:p w14:paraId="32911B8B">
      <w:pPr>
        <w:jc w:val="both"/>
        <w:rPr>
          <w:rFonts w:eastAsia="宋体"/>
          <w:sz w:val="22"/>
          <w:szCs w:val="22"/>
        </w:rPr>
      </w:pPr>
    </w:p>
    <w:p w14:paraId="03DA5ED8">
      <w:pPr>
        <w:spacing w:line="276" w:lineRule="auto"/>
        <w:jc w:val="both"/>
        <w:rPr>
          <w:rFonts w:eastAsia="宋体"/>
        </w:rPr>
      </w:pPr>
    </w:p>
    <w:sectPr>
      <w:pgSz w:w="16839" w:h="11907" w:orient="landscape"/>
      <w:pgMar w:top="1134" w:right="1440" w:bottom="1134"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elvetica">
    <w:panose1 w:val="020B0504020202030204"/>
    <w:charset w:val="00"/>
    <w:family w:val="swiss"/>
    <w:pitch w:val="default"/>
    <w:sig w:usb0="00000007" w:usb1="00000000" w:usb2="00000000" w:usb3="00000000" w:csb0="00000093" w:csb1="00000000"/>
  </w:font>
  <w:font w:name="Courier">
    <w:panose1 w:val="02060409020205020404"/>
    <w:charset w:val="00"/>
    <w:family w:val="modern"/>
    <w:pitch w:val="default"/>
    <w:sig w:usb0="00000007" w:usb1="00000000" w:usb2="000000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2D20B6"/>
    <w:multiLevelType w:val="multilevel"/>
    <w:tmpl w:val="3D2D20B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attachedTemplate r:id="rId1"/>
  <w:documentProtection w:enforcement="0"/>
  <w:defaultTabStop w:val="720"/>
  <w:drawingGridHorizontalSpacing w:val="120"/>
  <w:displayHorizontalDrawingGridEvery w:val="0"/>
  <w:displayVerticalDrawingGridEvery w:val="2"/>
  <w:characterSpacingControl w:val="doNotCompress"/>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 w:name="zzmp10mSEGsValidated" w:val="1"/>
    <w:docVar w:name="zzmpCompatibilityMode" w:val="15"/>
  </w:docVars>
  <w:rsids>
    <w:rsidRoot w:val="005E639F"/>
    <w:rsid w:val="00012CE8"/>
    <w:rsid w:val="00015E70"/>
    <w:rsid w:val="000200EE"/>
    <w:rsid w:val="00025B70"/>
    <w:rsid w:val="0002600B"/>
    <w:rsid w:val="00027B72"/>
    <w:rsid w:val="00037626"/>
    <w:rsid w:val="000417C5"/>
    <w:rsid w:val="00041CA8"/>
    <w:rsid w:val="0005523D"/>
    <w:rsid w:val="00062936"/>
    <w:rsid w:val="0006497A"/>
    <w:rsid w:val="0008519A"/>
    <w:rsid w:val="0009120F"/>
    <w:rsid w:val="00092008"/>
    <w:rsid w:val="00093A7B"/>
    <w:rsid w:val="000B3AF0"/>
    <w:rsid w:val="000D1937"/>
    <w:rsid w:val="000D6342"/>
    <w:rsid w:val="000E23FA"/>
    <w:rsid w:val="000F22A8"/>
    <w:rsid w:val="00107B26"/>
    <w:rsid w:val="00114961"/>
    <w:rsid w:val="0012266A"/>
    <w:rsid w:val="0012334B"/>
    <w:rsid w:val="00154CC8"/>
    <w:rsid w:val="00155287"/>
    <w:rsid w:val="001577F8"/>
    <w:rsid w:val="00185B52"/>
    <w:rsid w:val="00190B80"/>
    <w:rsid w:val="001B4916"/>
    <w:rsid w:val="001C1DFA"/>
    <w:rsid w:val="001C3851"/>
    <w:rsid w:val="001D2EAE"/>
    <w:rsid w:val="001D6E82"/>
    <w:rsid w:val="001E1557"/>
    <w:rsid w:val="001F4D8B"/>
    <w:rsid w:val="001F709B"/>
    <w:rsid w:val="0020109B"/>
    <w:rsid w:val="002117C2"/>
    <w:rsid w:val="002200BD"/>
    <w:rsid w:val="00222A73"/>
    <w:rsid w:val="002241DB"/>
    <w:rsid w:val="0022569D"/>
    <w:rsid w:val="0022761A"/>
    <w:rsid w:val="002321E8"/>
    <w:rsid w:val="00241412"/>
    <w:rsid w:val="00241627"/>
    <w:rsid w:val="00242CB8"/>
    <w:rsid w:val="002534E5"/>
    <w:rsid w:val="00264F34"/>
    <w:rsid w:val="00266766"/>
    <w:rsid w:val="00287093"/>
    <w:rsid w:val="00287429"/>
    <w:rsid w:val="002B28DB"/>
    <w:rsid w:val="002B5D1B"/>
    <w:rsid w:val="002E2A14"/>
    <w:rsid w:val="002E4531"/>
    <w:rsid w:val="002E490B"/>
    <w:rsid w:val="002F2A79"/>
    <w:rsid w:val="002F54EA"/>
    <w:rsid w:val="002F57CC"/>
    <w:rsid w:val="0030271C"/>
    <w:rsid w:val="003041B9"/>
    <w:rsid w:val="00306D59"/>
    <w:rsid w:val="00312BDA"/>
    <w:rsid w:val="00313CFD"/>
    <w:rsid w:val="003177E7"/>
    <w:rsid w:val="00320F93"/>
    <w:rsid w:val="00323ABA"/>
    <w:rsid w:val="00326E66"/>
    <w:rsid w:val="0033112E"/>
    <w:rsid w:val="00343090"/>
    <w:rsid w:val="00346E74"/>
    <w:rsid w:val="00352404"/>
    <w:rsid w:val="00356D30"/>
    <w:rsid w:val="0038558D"/>
    <w:rsid w:val="00395766"/>
    <w:rsid w:val="003A7679"/>
    <w:rsid w:val="003A7B7C"/>
    <w:rsid w:val="003B012B"/>
    <w:rsid w:val="003B447D"/>
    <w:rsid w:val="0040257D"/>
    <w:rsid w:val="004166A7"/>
    <w:rsid w:val="0042151F"/>
    <w:rsid w:val="00463A0A"/>
    <w:rsid w:val="00472B2E"/>
    <w:rsid w:val="00482F5B"/>
    <w:rsid w:val="004A71C6"/>
    <w:rsid w:val="004C1F36"/>
    <w:rsid w:val="004D7F0A"/>
    <w:rsid w:val="004E079E"/>
    <w:rsid w:val="004E5A08"/>
    <w:rsid w:val="004E70E2"/>
    <w:rsid w:val="004F1D3D"/>
    <w:rsid w:val="004F27F2"/>
    <w:rsid w:val="00503695"/>
    <w:rsid w:val="00522A9F"/>
    <w:rsid w:val="00532A4F"/>
    <w:rsid w:val="0053729B"/>
    <w:rsid w:val="005541E5"/>
    <w:rsid w:val="0055649E"/>
    <w:rsid w:val="00556CF3"/>
    <w:rsid w:val="00561E59"/>
    <w:rsid w:val="005627B7"/>
    <w:rsid w:val="00563E17"/>
    <w:rsid w:val="005669AA"/>
    <w:rsid w:val="0059152C"/>
    <w:rsid w:val="005C0F72"/>
    <w:rsid w:val="005C5363"/>
    <w:rsid w:val="005C774D"/>
    <w:rsid w:val="005D1C58"/>
    <w:rsid w:val="005E639F"/>
    <w:rsid w:val="00603619"/>
    <w:rsid w:val="006050B4"/>
    <w:rsid w:val="00614BE6"/>
    <w:rsid w:val="006227BC"/>
    <w:rsid w:val="00634A21"/>
    <w:rsid w:val="00683CE9"/>
    <w:rsid w:val="006A0E2F"/>
    <w:rsid w:val="006E1CF0"/>
    <w:rsid w:val="006E5083"/>
    <w:rsid w:val="006F4704"/>
    <w:rsid w:val="0070450B"/>
    <w:rsid w:val="0070774A"/>
    <w:rsid w:val="007157E0"/>
    <w:rsid w:val="00717ED3"/>
    <w:rsid w:val="00720601"/>
    <w:rsid w:val="00732D79"/>
    <w:rsid w:val="007333EB"/>
    <w:rsid w:val="007509CB"/>
    <w:rsid w:val="007710B0"/>
    <w:rsid w:val="007735DE"/>
    <w:rsid w:val="00781F5B"/>
    <w:rsid w:val="00782064"/>
    <w:rsid w:val="007954F6"/>
    <w:rsid w:val="007B16A6"/>
    <w:rsid w:val="007B465B"/>
    <w:rsid w:val="007D4C34"/>
    <w:rsid w:val="00816647"/>
    <w:rsid w:val="00816F4F"/>
    <w:rsid w:val="00826AEA"/>
    <w:rsid w:val="00836329"/>
    <w:rsid w:val="008800C0"/>
    <w:rsid w:val="00886E86"/>
    <w:rsid w:val="008970FF"/>
    <w:rsid w:val="008B12B9"/>
    <w:rsid w:val="008C4CF1"/>
    <w:rsid w:val="008D42DA"/>
    <w:rsid w:val="008D6D1C"/>
    <w:rsid w:val="008D7E76"/>
    <w:rsid w:val="008F4B7F"/>
    <w:rsid w:val="00953DDC"/>
    <w:rsid w:val="00962E4E"/>
    <w:rsid w:val="009777F7"/>
    <w:rsid w:val="00982344"/>
    <w:rsid w:val="00991B41"/>
    <w:rsid w:val="009A0F21"/>
    <w:rsid w:val="009A1806"/>
    <w:rsid w:val="009A1B58"/>
    <w:rsid w:val="009B09D0"/>
    <w:rsid w:val="009B4DAD"/>
    <w:rsid w:val="009B66E3"/>
    <w:rsid w:val="009C548D"/>
    <w:rsid w:val="009D538D"/>
    <w:rsid w:val="009F21D5"/>
    <w:rsid w:val="009F21FE"/>
    <w:rsid w:val="00A0224F"/>
    <w:rsid w:val="00A17110"/>
    <w:rsid w:val="00A21D3D"/>
    <w:rsid w:val="00A24A4A"/>
    <w:rsid w:val="00A45AE9"/>
    <w:rsid w:val="00A47CCB"/>
    <w:rsid w:val="00A53FD6"/>
    <w:rsid w:val="00A802AD"/>
    <w:rsid w:val="00AA2B0C"/>
    <w:rsid w:val="00AC471A"/>
    <w:rsid w:val="00AE2255"/>
    <w:rsid w:val="00AE30B0"/>
    <w:rsid w:val="00AF21B8"/>
    <w:rsid w:val="00AF726A"/>
    <w:rsid w:val="00AF72BD"/>
    <w:rsid w:val="00B033DC"/>
    <w:rsid w:val="00B151B8"/>
    <w:rsid w:val="00B30B18"/>
    <w:rsid w:val="00B32BD6"/>
    <w:rsid w:val="00B34DCB"/>
    <w:rsid w:val="00B35DC4"/>
    <w:rsid w:val="00B37E78"/>
    <w:rsid w:val="00B438C0"/>
    <w:rsid w:val="00B47251"/>
    <w:rsid w:val="00B579D5"/>
    <w:rsid w:val="00B6454A"/>
    <w:rsid w:val="00B76E16"/>
    <w:rsid w:val="00B839E3"/>
    <w:rsid w:val="00B860EA"/>
    <w:rsid w:val="00BC6724"/>
    <w:rsid w:val="00BE3046"/>
    <w:rsid w:val="00C0146F"/>
    <w:rsid w:val="00C1115C"/>
    <w:rsid w:val="00C27A53"/>
    <w:rsid w:val="00C344AB"/>
    <w:rsid w:val="00C3586B"/>
    <w:rsid w:val="00C37F93"/>
    <w:rsid w:val="00C6482E"/>
    <w:rsid w:val="00C678C0"/>
    <w:rsid w:val="00C67EBE"/>
    <w:rsid w:val="00C76B57"/>
    <w:rsid w:val="00C8527D"/>
    <w:rsid w:val="00C85E8E"/>
    <w:rsid w:val="00C87DA0"/>
    <w:rsid w:val="00C9024B"/>
    <w:rsid w:val="00CA64C8"/>
    <w:rsid w:val="00CB08EB"/>
    <w:rsid w:val="00CB591C"/>
    <w:rsid w:val="00CC5F33"/>
    <w:rsid w:val="00CC7686"/>
    <w:rsid w:val="00CF3669"/>
    <w:rsid w:val="00CF496F"/>
    <w:rsid w:val="00D01A6B"/>
    <w:rsid w:val="00D02F52"/>
    <w:rsid w:val="00D273B4"/>
    <w:rsid w:val="00D34EFC"/>
    <w:rsid w:val="00D61980"/>
    <w:rsid w:val="00D73F2A"/>
    <w:rsid w:val="00D82612"/>
    <w:rsid w:val="00D910F1"/>
    <w:rsid w:val="00D919D0"/>
    <w:rsid w:val="00DA085A"/>
    <w:rsid w:val="00DA5B73"/>
    <w:rsid w:val="00DA5FAC"/>
    <w:rsid w:val="00DB7CA2"/>
    <w:rsid w:val="00DC08A0"/>
    <w:rsid w:val="00DC6C5D"/>
    <w:rsid w:val="00DC753A"/>
    <w:rsid w:val="00DE08B2"/>
    <w:rsid w:val="00DF68F1"/>
    <w:rsid w:val="00E06782"/>
    <w:rsid w:val="00E07D24"/>
    <w:rsid w:val="00E11039"/>
    <w:rsid w:val="00E13E8B"/>
    <w:rsid w:val="00E33190"/>
    <w:rsid w:val="00E60C05"/>
    <w:rsid w:val="00E6362C"/>
    <w:rsid w:val="00E66912"/>
    <w:rsid w:val="00E70B3C"/>
    <w:rsid w:val="00E716CC"/>
    <w:rsid w:val="00E7436B"/>
    <w:rsid w:val="00E8308A"/>
    <w:rsid w:val="00EB0C0D"/>
    <w:rsid w:val="00EB0D34"/>
    <w:rsid w:val="00EB26DE"/>
    <w:rsid w:val="00EC34F7"/>
    <w:rsid w:val="00EC3E07"/>
    <w:rsid w:val="00EC4658"/>
    <w:rsid w:val="00EC4F15"/>
    <w:rsid w:val="00EF7974"/>
    <w:rsid w:val="00F056F1"/>
    <w:rsid w:val="00F22D51"/>
    <w:rsid w:val="00F241CE"/>
    <w:rsid w:val="00F25875"/>
    <w:rsid w:val="00F33669"/>
    <w:rsid w:val="00F659C7"/>
    <w:rsid w:val="00F93154"/>
    <w:rsid w:val="00FA2275"/>
    <w:rsid w:val="00FA2EEC"/>
    <w:rsid w:val="00FC773C"/>
    <w:rsid w:val="00FD0C0E"/>
    <w:rsid w:val="00FD1E53"/>
    <w:rsid w:val="053C3F5D"/>
    <w:rsid w:val="05A131E3"/>
    <w:rsid w:val="0F3E4EBE"/>
    <w:rsid w:val="2ED42F8C"/>
    <w:rsid w:val="2F583A83"/>
    <w:rsid w:val="31BB147C"/>
    <w:rsid w:val="38A037D1"/>
    <w:rsid w:val="40511110"/>
    <w:rsid w:val="44440F15"/>
    <w:rsid w:val="462211FB"/>
    <w:rsid w:val="49AE10CB"/>
    <w:rsid w:val="4E377D0F"/>
    <w:rsid w:val="4F1720ED"/>
    <w:rsid w:val="55510F1E"/>
    <w:rsid w:val="5D9142AD"/>
    <w:rsid w:val="601C1383"/>
    <w:rsid w:val="63EC510C"/>
    <w:rsid w:val="7A901021"/>
    <w:rsid w:val="7A974C4E"/>
    <w:rsid w:val="7D281FE9"/>
    <w:rsid w:val="7F7125E3"/>
  </w:rsids>
  <m:mathPr>
    <m:mathFont m:val="Cambria Math"/>
    <m:brkBin m:val="before"/>
    <m:brkBinSub m:val="--"/>
    <m:smallFrac m:val="1"/>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99"/>
    <w:pPr>
      <w:widowControl w:val="0"/>
      <w:autoSpaceDE w:val="0"/>
      <w:autoSpaceDN w:val="0"/>
      <w:adjustRightInd w:val="0"/>
    </w:pPr>
    <w:rPr>
      <w:rFonts w:ascii="Times New Roman" w:hAnsi="Times New Roman" w:cs="Times New Roman" w:eastAsiaTheme="minorEastAsia"/>
      <w:lang w:val="en-US" w:eastAsia="zh-CN" w:bidi="ar-SA"/>
    </w:rPr>
  </w:style>
  <w:style w:type="paragraph" w:styleId="2">
    <w:name w:val="heading 1"/>
    <w:basedOn w:val="1"/>
    <w:next w:val="1"/>
    <w:link w:val="58"/>
    <w:autoRedefine/>
    <w:qFormat/>
    <w:uiPriority w:val="0"/>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56"/>
    <w:autoRedefine/>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6"/>
    <w:basedOn w:val="1"/>
    <w:next w:val="1"/>
    <w:link w:val="65"/>
    <w:autoRedefine/>
    <w:semiHidden/>
    <w:unhideWhenUsed/>
    <w:qFormat/>
    <w:uiPriority w:val="9"/>
    <w:pPr>
      <w:keepNext/>
      <w:keepLines/>
      <w:spacing w:before="40"/>
      <w:outlineLvl w:val="5"/>
    </w:pPr>
    <w:rPr>
      <w:rFonts w:asciiTheme="majorHAnsi" w:hAnsiTheme="majorHAnsi" w:eastAsiaTheme="majorEastAsia" w:cstheme="majorBidi"/>
      <w:color w:val="254061" w:themeColor="accent1" w:themeShade="8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59"/>
    <w:autoRedefine/>
    <w:semiHidden/>
    <w:unhideWhenUsed/>
    <w:qFormat/>
    <w:uiPriority w:val="99"/>
  </w:style>
  <w:style w:type="paragraph" w:styleId="6">
    <w:name w:val="Body Text"/>
    <w:basedOn w:val="1"/>
    <w:link w:val="20"/>
    <w:autoRedefine/>
    <w:semiHidden/>
    <w:unhideWhenUsed/>
    <w:qFormat/>
    <w:uiPriority w:val="99"/>
    <w:pPr>
      <w:spacing w:after="120"/>
    </w:pPr>
  </w:style>
  <w:style w:type="paragraph" w:styleId="7">
    <w:name w:val="Balloon Text"/>
    <w:basedOn w:val="1"/>
    <w:link w:val="57"/>
    <w:autoRedefine/>
    <w:semiHidden/>
    <w:unhideWhenUsed/>
    <w:qFormat/>
    <w:uiPriority w:val="99"/>
    <w:rPr>
      <w:rFonts w:ascii="Tahoma" w:hAnsi="Tahoma" w:cs="Tahoma"/>
      <w:sz w:val="16"/>
      <w:szCs w:val="16"/>
    </w:rPr>
  </w:style>
  <w:style w:type="paragraph" w:styleId="8">
    <w:name w:val="footer"/>
    <w:basedOn w:val="1"/>
    <w:link w:val="19"/>
    <w:autoRedefine/>
    <w:unhideWhenUsed/>
    <w:qFormat/>
    <w:uiPriority w:val="99"/>
    <w:pPr>
      <w:tabs>
        <w:tab w:val="center" w:pos="4680"/>
        <w:tab w:val="right" w:pos="9360"/>
      </w:tabs>
    </w:pPr>
  </w:style>
  <w:style w:type="paragraph" w:styleId="9">
    <w:name w:val="header"/>
    <w:basedOn w:val="1"/>
    <w:link w:val="18"/>
    <w:autoRedefine/>
    <w:unhideWhenUsed/>
    <w:qFormat/>
    <w:uiPriority w:val="99"/>
    <w:pPr>
      <w:tabs>
        <w:tab w:val="center" w:pos="4680"/>
        <w:tab w:val="right" w:pos="9360"/>
      </w:tabs>
    </w:pPr>
  </w:style>
  <w:style w:type="paragraph" w:styleId="10">
    <w:name w:val="footnote text"/>
    <w:basedOn w:val="1"/>
    <w:link w:val="55"/>
    <w:autoRedefine/>
    <w:semiHidden/>
    <w:qFormat/>
    <w:uiPriority w:val="0"/>
    <w:pPr>
      <w:widowControl/>
      <w:autoSpaceDE/>
      <w:autoSpaceDN/>
      <w:adjustRightInd/>
      <w:spacing w:after="200" w:line="276" w:lineRule="auto"/>
    </w:pPr>
    <w:rPr>
      <w:rFonts w:ascii="Calibri" w:hAnsi="Calibri" w:eastAsia="宋体"/>
      <w:lang w:val="en-SG"/>
    </w:rPr>
  </w:style>
  <w:style w:type="paragraph" w:styleId="11">
    <w:name w:val="annotation subject"/>
    <w:basedOn w:val="5"/>
    <w:next w:val="5"/>
    <w:link w:val="60"/>
    <w:autoRedefine/>
    <w:semiHidden/>
    <w:unhideWhenUsed/>
    <w:qFormat/>
    <w:uiPriority w:val="99"/>
    <w:rPr>
      <w:b/>
      <w:bCs/>
    </w:rPr>
  </w:style>
  <w:style w:type="table" w:styleId="13">
    <w:name w:val="Table Grid"/>
    <w:basedOn w:val="12"/>
    <w:autoRedefine/>
    <w:qFormat/>
    <w:uiPriority w:val="59"/>
    <w:rPr>
      <w:rFonts w:eastAsiaTheme="minorEastAsia"/>
      <w:lang w:eastAsia="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autoRedefine/>
    <w:unhideWhenUsed/>
    <w:qFormat/>
    <w:uiPriority w:val="99"/>
    <w:rPr>
      <w:color w:val="0000FF" w:themeColor="hyperlink"/>
      <w:u w:val="single"/>
      <w14:textFill>
        <w14:solidFill>
          <w14:schemeClr w14:val="hlink"/>
        </w14:solidFill>
      </w14:textFill>
    </w:rPr>
  </w:style>
  <w:style w:type="character" w:styleId="16">
    <w:name w:val="annotation reference"/>
    <w:basedOn w:val="14"/>
    <w:autoRedefine/>
    <w:semiHidden/>
    <w:unhideWhenUsed/>
    <w:qFormat/>
    <w:uiPriority w:val="99"/>
    <w:rPr>
      <w:sz w:val="18"/>
      <w:szCs w:val="18"/>
    </w:rPr>
  </w:style>
  <w:style w:type="character" w:styleId="17">
    <w:name w:val="footnote reference"/>
    <w:autoRedefine/>
    <w:semiHidden/>
    <w:qFormat/>
    <w:uiPriority w:val="0"/>
    <w:rPr>
      <w:vertAlign w:val="superscript"/>
    </w:rPr>
  </w:style>
  <w:style w:type="character" w:customStyle="1" w:styleId="18">
    <w:name w:val="页眉 字符"/>
    <w:basedOn w:val="14"/>
    <w:link w:val="9"/>
    <w:autoRedefine/>
    <w:qFormat/>
    <w:uiPriority w:val="99"/>
    <w:rPr>
      <w:rFonts w:ascii="Times New Roman" w:hAnsi="Times New Roman"/>
      <w:sz w:val="24"/>
    </w:rPr>
  </w:style>
  <w:style w:type="character" w:customStyle="1" w:styleId="19">
    <w:name w:val="页脚 字符"/>
    <w:basedOn w:val="14"/>
    <w:link w:val="8"/>
    <w:autoRedefine/>
    <w:qFormat/>
    <w:uiPriority w:val="99"/>
    <w:rPr>
      <w:rFonts w:ascii="Times New Roman" w:hAnsi="Times New Roman"/>
      <w:sz w:val="24"/>
    </w:rPr>
  </w:style>
  <w:style w:type="character" w:customStyle="1" w:styleId="20">
    <w:name w:val="正文文本 字符"/>
    <w:basedOn w:val="14"/>
    <w:link w:val="6"/>
    <w:autoRedefine/>
    <w:semiHidden/>
    <w:qFormat/>
    <w:uiPriority w:val="99"/>
    <w:rPr>
      <w:rFonts w:ascii="Times New Roman" w:hAnsi="Times New Roman"/>
      <w:sz w:val="24"/>
    </w:rPr>
  </w:style>
  <w:style w:type="paragraph" w:customStyle="1" w:styleId="21">
    <w:name w:val="Firm Double"/>
    <w:basedOn w:val="1"/>
    <w:autoRedefine/>
    <w:qFormat/>
    <w:uiPriority w:val="0"/>
    <w:pPr>
      <w:spacing w:line="480" w:lineRule="auto"/>
    </w:pPr>
    <w:rPr>
      <w:rFonts w:eastAsia="Times New Roman"/>
      <w:szCs w:val="24"/>
    </w:rPr>
  </w:style>
  <w:style w:type="paragraph" w:customStyle="1" w:styleId="22">
    <w:name w:val="Firm Double 05"/>
    <w:basedOn w:val="1"/>
    <w:autoRedefine/>
    <w:qFormat/>
    <w:uiPriority w:val="0"/>
    <w:pPr>
      <w:spacing w:line="480" w:lineRule="auto"/>
      <w:ind w:firstLine="720"/>
    </w:pPr>
    <w:rPr>
      <w:rFonts w:eastAsia="Times New Roman"/>
      <w:szCs w:val="24"/>
    </w:rPr>
  </w:style>
  <w:style w:type="paragraph" w:customStyle="1" w:styleId="23">
    <w:name w:val="Firm Double 1"/>
    <w:basedOn w:val="1"/>
    <w:autoRedefine/>
    <w:qFormat/>
    <w:uiPriority w:val="0"/>
    <w:pPr>
      <w:spacing w:line="480" w:lineRule="auto"/>
      <w:ind w:firstLine="1440"/>
    </w:pPr>
    <w:rPr>
      <w:rFonts w:eastAsia="Times New Roman"/>
      <w:szCs w:val="24"/>
    </w:rPr>
  </w:style>
  <w:style w:type="paragraph" w:customStyle="1" w:styleId="24">
    <w:name w:val="Firm Double Full Justify"/>
    <w:basedOn w:val="1"/>
    <w:autoRedefine/>
    <w:qFormat/>
    <w:uiPriority w:val="0"/>
    <w:pPr>
      <w:spacing w:line="480" w:lineRule="auto"/>
      <w:jc w:val="both"/>
    </w:pPr>
    <w:rPr>
      <w:rFonts w:eastAsia="Times New Roman"/>
      <w:szCs w:val="24"/>
    </w:rPr>
  </w:style>
  <w:style w:type="paragraph" w:customStyle="1" w:styleId="25">
    <w:name w:val="Firm Plain"/>
    <w:basedOn w:val="1"/>
    <w:autoRedefine/>
    <w:qFormat/>
    <w:uiPriority w:val="0"/>
    <w:rPr>
      <w:rFonts w:eastAsia="Times New Roman"/>
      <w:szCs w:val="24"/>
    </w:rPr>
  </w:style>
  <w:style w:type="paragraph" w:customStyle="1" w:styleId="26">
    <w:name w:val="Firm Quote"/>
    <w:basedOn w:val="1"/>
    <w:autoRedefine/>
    <w:qFormat/>
    <w:uiPriority w:val="0"/>
    <w:pPr>
      <w:spacing w:before="240" w:after="240"/>
      <w:ind w:left="1440" w:right="1440"/>
    </w:pPr>
    <w:rPr>
      <w:rFonts w:eastAsia="Times New Roman"/>
      <w:szCs w:val="24"/>
    </w:rPr>
  </w:style>
  <w:style w:type="paragraph" w:customStyle="1" w:styleId="27">
    <w:name w:val="Firm Single"/>
    <w:basedOn w:val="1"/>
    <w:autoRedefine/>
    <w:qFormat/>
    <w:uiPriority w:val="0"/>
    <w:pPr>
      <w:spacing w:after="240"/>
    </w:pPr>
    <w:rPr>
      <w:rFonts w:eastAsia="Times New Roman"/>
      <w:szCs w:val="24"/>
    </w:rPr>
  </w:style>
  <w:style w:type="paragraph" w:customStyle="1" w:styleId="28">
    <w:name w:val="Firm Single 05"/>
    <w:basedOn w:val="1"/>
    <w:autoRedefine/>
    <w:qFormat/>
    <w:uiPriority w:val="0"/>
    <w:pPr>
      <w:spacing w:after="240"/>
      <w:ind w:firstLine="720"/>
    </w:pPr>
    <w:rPr>
      <w:rFonts w:eastAsia="Times New Roman"/>
      <w:szCs w:val="24"/>
    </w:rPr>
  </w:style>
  <w:style w:type="paragraph" w:customStyle="1" w:styleId="29">
    <w:name w:val="Firm Single 05 (E)"/>
    <w:basedOn w:val="1"/>
    <w:autoRedefine/>
    <w:qFormat/>
    <w:uiPriority w:val="0"/>
    <w:pPr>
      <w:spacing w:after="240"/>
      <w:ind w:left="720"/>
      <w:jc w:val="both"/>
    </w:pPr>
    <w:rPr>
      <w:rFonts w:eastAsia="Times New Roman"/>
      <w:szCs w:val="24"/>
    </w:rPr>
  </w:style>
  <w:style w:type="paragraph" w:customStyle="1" w:styleId="30">
    <w:name w:val="Firm Single 1"/>
    <w:basedOn w:val="1"/>
    <w:autoRedefine/>
    <w:qFormat/>
    <w:uiPriority w:val="0"/>
    <w:pPr>
      <w:spacing w:after="240"/>
      <w:ind w:firstLine="1440"/>
    </w:pPr>
    <w:rPr>
      <w:rFonts w:eastAsia="Times New Roman"/>
      <w:szCs w:val="24"/>
    </w:rPr>
  </w:style>
  <w:style w:type="paragraph" w:customStyle="1" w:styleId="31">
    <w:name w:val="Firm Single 1 (E)"/>
    <w:basedOn w:val="1"/>
    <w:autoRedefine/>
    <w:qFormat/>
    <w:uiPriority w:val="0"/>
    <w:pPr>
      <w:spacing w:after="240"/>
      <w:ind w:left="1440"/>
      <w:jc w:val="both"/>
    </w:pPr>
    <w:rPr>
      <w:rFonts w:eastAsia="Times New Roman"/>
      <w:szCs w:val="24"/>
    </w:rPr>
  </w:style>
  <w:style w:type="paragraph" w:customStyle="1" w:styleId="32">
    <w:name w:val="Firm Single 1.5 (E)"/>
    <w:basedOn w:val="1"/>
    <w:autoRedefine/>
    <w:qFormat/>
    <w:uiPriority w:val="0"/>
    <w:pPr>
      <w:spacing w:after="240"/>
      <w:ind w:left="2160"/>
      <w:jc w:val="both"/>
    </w:pPr>
    <w:rPr>
      <w:rFonts w:eastAsia="Times New Roman"/>
      <w:szCs w:val="24"/>
    </w:rPr>
  </w:style>
  <w:style w:type="paragraph" w:customStyle="1" w:styleId="33">
    <w:name w:val="Firm Single Full Justify"/>
    <w:basedOn w:val="1"/>
    <w:autoRedefine/>
    <w:qFormat/>
    <w:uiPriority w:val="0"/>
    <w:pPr>
      <w:spacing w:after="240"/>
      <w:jc w:val="both"/>
    </w:pPr>
    <w:rPr>
      <w:rFonts w:eastAsia="Times New Roman"/>
      <w:szCs w:val="24"/>
    </w:rPr>
  </w:style>
  <w:style w:type="paragraph" w:customStyle="1" w:styleId="34">
    <w:name w:val="Firm Table"/>
    <w:basedOn w:val="1"/>
    <w:autoRedefine/>
    <w:qFormat/>
    <w:uiPriority w:val="0"/>
    <w:rPr>
      <w:rFonts w:eastAsia="Times New Roman"/>
      <w:szCs w:val="24"/>
    </w:rPr>
  </w:style>
  <w:style w:type="paragraph" w:customStyle="1" w:styleId="35">
    <w:name w:val="Firm Title CB"/>
    <w:basedOn w:val="1"/>
    <w:autoRedefine/>
    <w:qFormat/>
    <w:uiPriority w:val="0"/>
    <w:pPr>
      <w:keepNext/>
      <w:keepLines/>
      <w:spacing w:after="240"/>
      <w:jc w:val="center"/>
      <w:outlineLvl w:val="0"/>
    </w:pPr>
    <w:rPr>
      <w:rFonts w:eastAsia="Times New Roman"/>
      <w:b/>
      <w:szCs w:val="24"/>
    </w:rPr>
  </w:style>
  <w:style w:type="paragraph" w:customStyle="1" w:styleId="36">
    <w:name w:val="Firm Title CBU"/>
    <w:basedOn w:val="1"/>
    <w:autoRedefine/>
    <w:qFormat/>
    <w:uiPriority w:val="0"/>
    <w:pPr>
      <w:keepNext/>
      <w:keepLines/>
      <w:spacing w:after="240"/>
      <w:jc w:val="center"/>
      <w:outlineLvl w:val="0"/>
    </w:pPr>
    <w:rPr>
      <w:rFonts w:eastAsia="Times New Roman"/>
      <w:b/>
      <w:szCs w:val="24"/>
      <w:u w:val="single"/>
    </w:rPr>
  </w:style>
  <w:style w:type="paragraph" w:customStyle="1" w:styleId="37">
    <w:name w:val="Firm Title CU"/>
    <w:basedOn w:val="1"/>
    <w:autoRedefine/>
    <w:qFormat/>
    <w:uiPriority w:val="0"/>
    <w:pPr>
      <w:keepNext/>
      <w:keepLines/>
      <w:spacing w:after="240"/>
      <w:jc w:val="center"/>
      <w:outlineLvl w:val="0"/>
    </w:pPr>
    <w:rPr>
      <w:rFonts w:eastAsia="Times New Roman"/>
      <w:szCs w:val="24"/>
      <w:u w:val="single"/>
    </w:rPr>
  </w:style>
  <w:style w:type="paragraph" w:customStyle="1" w:styleId="38">
    <w:name w:val="Firm Title LB"/>
    <w:basedOn w:val="1"/>
    <w:autoRedefine/>
    <w:qFormat/>
    <w:uiPriority w:val="0"/>
    <w:pPr>
      <w:keepNext/>
      <w:keepLines/>
      <w:spacing w:after="240"/>
      <w:outlineLvl w:val="0"/>
    </w:pPr>
    <w:rPr>
      <w:rFonts w:eastAsia="Times New Roman"/>
      <w:b/>
      <w:szCs w:val="24"/>
    </w:rPr>
  </w:style>
  <w:style w:type="paragraph" w:customStyle="1" w:styleId="39">
    <w:name w:val="Firm Title LB 05 (E)"/>
    <w:basedOn w:val="1"/>
    <w:autoRedefine/>
    <w:qFormat/>
    <w:uiPriority w:val="0"/>
    <w:pPr>
      <w:keepNext/>
      <w:keepLines/>
      <w:spacing w:after="240"/>
      <w:ind w:left="720"/>
      <w:outlineLvl w:val="0"/>
    </w:pPr>
    <w:rPr>
      <w:rFonts w:eastAsia="Times New Roman"/>
      <w:b/>
      <w:szCs w:val="24"/>
    </w:rPr>
  </w:style>
  <w:style w:type="paragraph" w:customStyle="1" w:styleId="40">
    <w:name w:val="Firm Title LB 1 (E)"/>
    <w:basedOn w:val="6"/>
    <w:autoRedefine/>
    <w:qFormat/>
    <w:uiPriority w:val="0"/>
    <w:pPr>
      <w:keepNext/>
      <w:keepLines/>
      <w:spacing w:after="240"/>
      <w:ind w:left="1440"/>
      <w:outlineLvl w:val="0"/>
    </w:pPr>
    <w:rPr>
      <w:rFonts w:eastAsia="Times New Roman"/>
      <w:b/>
      <w:szCs w:val="24"/>
    </w:rPr>
  </w:style>
  <w:style w:type="paragraph" w:customStyle="1" w:styleId="41">
    <w:name w:val="Firm Title LB 1.5 (E)"/>
    <w:basedOn w:val="6"/>
    <w:autoRedefine/>
    <w:qFormat/>
    <w:uiPriority w:val="0"/>
    <w:pPr>
      <w:keepNext/>
      <w:keepLines/>
      <w:spacing w:after="240"/>
      <w:ind w:left="2160"/>
      <w:outlineLvl w:val="0"/>
    </w:pPr>
    <w:rPr>
      <w:rFonts w:eastAsia="Times New Roman"/>
      <w:b/>
      <w:szCs w:val="24"/>
    </w:rPr>
  </w:style>
  <w:style w:type="paragraph" w:customStyle="1" w:styleId="42">
    <w:name w:val="Firm Title LBU"/>
    <w:basedOn w:val="1"/>
    <w:autoRedefine/>
    <w:qFormat/>
    <w:uiPriority w:val="0"/>
    <w:pPr>
      <w:keepNext/>
      <w:keepLines/>
      <w:spacing w:after="240"/>
      <w:outlineLvl w:val="0"/>
    </w:pPr>
    <w:rPr>
      <w:rFonts w:eastAsia="Times New Roman"/>
      <w:b/>
      <w:szCs w:val="24"/>
      <w:u w:val="single"/>
    </w:rPr>
  </w:style>
  <w:style w:type="paragraph" w:customStyle="1" w:styleId="43">
    <w:name w:val="Firm Title LBU 05 (E)"/>
    <w:basedOn w:val="1"/>
    <w:autoRedefine/>
    <w:qFormat/>
    <w:uiPriority w:val="0"/>
    <w:pPr>
      <w:keepNext/>
      <w:keepLines/>
      <w:spacing w:after="240"/>
      <w:ind w:left="720"/>
      <w:outlineLvl w:val="0"/>
    </w:pPr>
    <w:rPr>
      <w:rFonts w:eastAsia="Times New Roman"/>
      <w:b/>
      <w:szCs w:val="24"/>
      <w:u w:val="single"/>
    </w:rPr>
  </w:style>
  <w:style w:type="paragraph" w:customStyle="1" w:styleId="44">
    <w:name w:val="Firm Title LBU 1 (E)"/>
    <w:basedOn w:val="6"/>
    <w:autoRedefine/>
    <w:qFormat/>
    <w:uiPriority w:val="0"/>
    <w:pPr>
      <w:keepNext/>
      <w:keepLines/>
      <w:spacing w:after="240"/>
      <w:ind w:left="1440"/>
      <w:outlineLvl w:val="0"/>
    </w:pPr>
    <w:rPr>
      <w:rFonts w:eastAsia="Times New Roman"/>
      <w:b/>
      <w:szCs w:val="24"/>
      <w:u w:val="single"/>
    </w:rPr>
  </w:style>
  <w:style w:type="paragraph" w:customStyle="1" w:styleId="45">
    <w:name w:val="Firm Title LBU 1.5 (E)"/>
    <w:basedOn w:val="6"/>
    <w:autoRedefine/>
    <w:qFormat/>
    <w:uiPriority w:val="0"/>
    <w:pPr>
      <w:keepNext/>
      <w:keepLines/>
      <w:spacing w:after="240"/>
      <w:ind w:left="2160"/>
      <w:outlineLvl w:val="0"/>
    </w:pPr>
    <w:rPr>
      <w:rFonts w:eastAsia="Times New Roman"/>
      <w:b/>
      <w:szCs w:val="24"/>
      <w:u w:val="single"/>
    </w:rPr>
  </w:style>
  <w:style w:type="paragraph" w:customStyle="1" w:styleId="46">
    <w:name w:val="Firm Title LU"/>
    <w:basedOn w:val="1"/>
    <w:autoRedefine/>
    <w:qFormat/>
    <w:uiPriority w:val="0"/>
    <w:pPr>
      <w:keepNext/>
      <w:keepLines/>
      <w:spacing w:after="240"/>
      <w:outlineLvl w:val="0"/>
    </w:pPr>
    <w:rPr>
      <w:rFonts w:eastAsia="Times New Roman"/>
      <w:szCs w:val="24"/>
      <w:u w:val="single"/>
    </w:rPr>
  </w:style>
  <w:style w:type="paragraph" w:customStyle="1" w:styleId="47">
    <w:name w:val="Firm Title LU 05 (E)"/>
    <w:basedOn w:val="1"/>
    <w:autoRedefine/>
    <w:qFormat/>
    <w:uiPriority w:val="0"/>
    <w:pPr>
      <w:keepNext/>
      <w:keepLines/>
      <w:spacing w:after="240"/>
      <w:ind w:left="720"/>
      <w:outlineLvl w:val="0"/>
    </w:pPr>
    <w:rPr>
      <w:rFonts w:eastAsia="Times New Roman"/>
      <w:szCs w:val="24"/>
      <w:u w:val="single"/>
    </w:rPr>
  </w:style>
  <w:style w:type="paragraph" w:customStyle="1" w:styleId="48">
    <w:name w:val="Firm Title LU 1 (E)"/>
    <w:basedOn w:val="6"/>
    <w:autoRedefine/>
    <w:qFormat/>
    <w:uiPriority w:val="0"/>
    <w:pPr>
      <w:keepNext/>
      <w:keepLines/>
      <w:spacing w:after="240"/>
      <w:ind w:left="1440"/>
      <w:outlineLvl w:val="0"/>
    </w:pPr>
    <w:rPr>
      <w:rFonts w:eastAsia="Times New Roman"/>
      <w:szCs w:val="24"/>
      <w:u w:val="single"/>
    </w:rPr>
  </w:style>
  <w:style w:type="paragraph" w:customStyle="1" w:styleId="49">
    <w:name w:val="Firm Title LU 1.5 (E)"/>
    <w:basedOn w:val="6"/>
    <w:autoRedefine/>
    <w:qFormat/>
    <w:uiPriority w:val="0"/>
    <w:pPr>
      <w:keepNext/>
      <w:keepLines/>
      <w:spacing w:after="240"/>
      <w:ind w:left="2160"/>
      <w:outlineLvl w:val="0"/>
    </w:pPr>
    <w:rPr>
      <w:rFonts w:eastAsia="Times New Roman"/>
      <w:szCs w:val="24"/>
      <w:u w:val="single"/>
    </w:rPr>
  </w:style>
  <w:style w:type="paragraph" w:styleId="50">
    <w:name w:val="List Paragraph"/>
    <w:basedOn w:val="1"/>
    <w:link w:val="53"/>
    <w:qFormat/>
    <w:uiPriority w:val="34"/>
    <w:pPr>
      <w:ind w:left="720"/>
      <w:contextualSpacing/>
    </w:pPr>
  </w:style>
  <w:style w:type="paragraph" w:customStyle="1" w:styleId="51">
    <w:name w:val="Default"/>
    <w:autoRedefine/>
    <w:qFormat/>
    <w:uiPriority w:val="0"/>
    <w:pPr>
      <w:autoSpaceDE w:val="0"/>
      <w:autoSpaceDN w:val="0"/>
      <w:adjustRightInd w:val="0"/>
    </w:pPr>
    <w:rPr>
      <w:rFonts w:ascii="Arial" w:hAnsi="Arial" w:eastAsia="宋体" w:cs="Arial"/>
      <w:color w:val="000000"/>
      <w:sz w:val="24"/>
      <w:szCs w:val="24"/>
      <w:lang w:val="en-GB" w:eastAsia="en-US" w:bidi="ar-SA"/>
    </w:rPr>
  </w:style>
  <w:style w:type="paragraph" w:customStyle="1" w:styleId="52">
    <w:name w:val="CM17"/>
    <w:basedOn w:val="51"/>
    <w:next w:val="51"/>
    <w:autoRedefine/>
    <w:qFormat/>
    <w:uiPriority w:val="0"/>
    <w:pPr>
      <w:widowControl w:val="0"/>
      <w:spacing w:after="115"/>
    </w:pPr>
    <w:rPr>
      <w:rFonts w:ascii="Helvetica" w:hAnsi="Helvetica" w:cs="Helvetica"/>
      <w:color w:val="auto"/>
      <w:lang w:val="en-SG" w:eastAsia="zh-CN"/>
    </w:rPr>
  </w:style>
  <w:style w:type="character" w:customStyle="1" w:styleId="53">
    <w:name w:val="列表段落 字符"/>
    <w:link w:val="50"/>
    <w:autoRedefine/>
    <w:qFormat/>
    <w:locked/>
    <w:uiPriority w:val="34"/>
    <w:rPr>
      <w:rFonts w:ascii="Times New Roman" w:hAnsi="Times New Roman" w:cs="Times New Roman" w:eastAsiaTheme="minorEastAsia"/>
      <w:sz w:val="20"/>
      <w:szCs w:val="20"/>
      <w:lang w:eastAsia="zh-CN"/>
    </w:rPr>
  </w:style>
  <w:style w:type="paragraph" w:customStyle="1" w:styleId="54">
    <w:name w:val="H2"/>
    <w:basedOn w:val="3"/>
    <w:autoRedefine/>
    <w:qFormat/>
    <w:uiPriority w:val="0"/>
    <w:pPr>
      <w:keepNext w:val="0"/>
      <w:keepLines w:val="0"/>
      <w:widowControl/>
      <w:spacing w:before="0" w:line="276" w:lineRule="auto"/>
      <w:ind w:left="720" w:hanging="720"/>
      <w:contextualSpacing/>
      <w:jc w:val="both"/>
    </w:pPr>
    <w:rPr>
      <w:rFonts w:ascii="Calibri" w:hAnsi="Calibri" w:eastAsia="宋体" w:cs="Arial"/>
      <w:b w:val="0"/>
      <w:color w:val="auto"/>
      <w:sz w:val="21"/>
      <w:szCs w:val="20"/>
      <w:lang w:val="en-GB" w:eastAsia="en-US"/>
    </w:rPr>
  </w:style>
  <w:style w:type="character" w:customStyle="1" w:styleId="55">
    <w:name w:val="脚注文本 字符"/>
    <w:basedOn w:val="14"/>
    <w:link w:val="10"/>
    <w:autoRedefine/>
    <w:semiHidden/>
    <w:qFormat/>
    <w:uiPriority w:val="0"/>
    <w:rPr>
      <w:rFonts w:ascii="Calibri" w:hAnsi="Calibri" w:cs="Times New Roman"/>
      <w:lang w:val="en-SG"/>
    </w:rPr>
  </w:style>
  <w:style w:type="character" w:customStyle="1" w:styleId="56">
    <w:name w:val="标题 2 字符"/>
    <w:basedOn w:val="14"/>
    <w:link w:val="3"/>
    <w:autoRedefine/>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57">
    <w:name w:val="批注框文本 字符"/>
    <w:basedOn w:val="14"/>
    <w:link w:val="7"/>
    <w:autoRedefine/>
    <w:semiHidden/>
    <w:qFormat/>
    <w:uiPriority w:val="99"/>
    <w:rPr>
      <w:rFonts w:ascii="Tahoma" w:hAnsi="Tahoma" w:cs="Tahoma" w:eastAsiaTheme="minorEastAsia"/>
      <w:sz w:val="16"/>
      <w:szCs w:val="16"/>
    </w:rPr>
  </w:style>
  <w:style w:type="character" w:customStyle="1" w:styleId="58">
    <w:name w:val="标题 1 字符"/>
    <w:basedOn w:val="14"/>
    <w:link w:val="2"/>
    <w:autoRedefine/>
    <w:qFormat/>
    <w:uiPriority w:val="9"/>
    <w:rPr>
      <w:rFonts w:asciiTheme="majorHAnsi" w:hAnsiTheme="majorHAnsi" w:eastAsiaTheme="majorEastAsia" w:cstheme="majorBidi"/>
      <w:b/>
      <w:bCs/>
      <w:color w:val="376092" w:themeColor="accent1" w:themeShade="BF"/>
      <w:sz w:val="28"/>
      <w:szCs w:val="28"/>
      <w:lang w:eastAsia="zh-CN"/>
    </w:rPr>
  </w:style>
  <w:style w:type="character" w:customStyle="1" w:styleId="59">
    <w:name w:val="批注文字 字符"/>
    <w:basedOn w:val="14"/>
    <w:link w:val="5"/>
    <w:autoRedefine/>
    <w:semiHidden/>
    <w:qFormat/>
    <w:uiPriority w:val="99"/>
    <w:rPr>
      <w:rFonts w:ascii="Times New Roman" w:hAnsi="Times New Roman" w:cs="Times New Roman" w:eastAsiaTheme="minorEastAsia"/>
      <w:sz w:val="20"/>
      <w:szCs w:val="20"/>
      <w:lang w:eastAsia="zh-CN"/>
    </w:rPr>
  </w:style>
  <w:style w:type="character" w:customStyle="1" w:styleId="60">
    <w:name w:val="批注主题 字符"/>
    <w:basedOn w:val="59"/>
    <w:link w:val="11"/>
    <w:autoRedefine/>
    <w:semiHidden/>
    <w:qFormat/>
    <w:uiPriority w:val="99"/>
    <w:rPr>
      <w:rFonts w:ascii="Times New Roman" w:hAnsi="Times New Roman" w:cs="Times New Roman" w:eastAsiaTheme="minorEastAsia"/>
      <w:b/>
      <w:bCs/>
      <w:sz w:val="20"/>
      <w:szCs w:val="20"/>
      <w:lang w:eastAsia="zh-CN"/>
    </w:rPr>
  </w:style>
  <w:style w:type="paragraph" w:customStyle="1" w:styleId="61">
    <w:name w:val="ordinary-output"/>
    <w:basedOn w:val="1"/>
    <w:autoRedefine/>
    <w:qFormat/>
    <w:uiPriority w:val="0"/>
    <w:pPr>
      <w:widowControl/>
      <w:autoSpaceDE/>
      <w:autoSpaceDN/>
      <w:adjustRightInd/>
      <w:spacing w:before="100" w:beforeAutospacing="1" w:after="100" w:afterAutospacing="1"/>
    </w:pPr>
    <w:rPr>
      <w:rFonts w:eastAsia="Times New Roman"/>
      <w:sz w:val="24"/>
      <w:szCs w:val="24"/>
      <w:lang w:val="en-GB"/>
    </w:rPr>
  </w:style>
  <w:style w:type="paragraph" w:customStyle="1" w:styleId="62">
    <w:name w:val="Revision1"/>
    <w:autoRedefine/>
    <w:hidden/>
    <w:semiHidden/>
    <w:qFormat/>
    <w:uiPriority w:val="99"/>
    <w:rPr>
      <w:rFonts w:ascii="Times New Roman" w:hAnsi="Times New Roman" w:cs="Times New Roman" w:eastAsiaTheme="minorEastAsia"/>
      <w:lang w:val="en-US" w:eastAsia="zh-CN" w:bidi="ar-SA"/>
    </w:rPr>
  </w:style>
  <w:style w:type="character" w:customStyle="1" w:styleId="63">
    <w:name w:val="Unresolved Mention1"/>
    <w:basedOn w:val="14"/>
    <w:autoRedefine/>
    <w:semiHidden/>
    <w:unhideWhenUsed/>
    <w:qFormat/>
    <w:uiPriority w:val="99"/>
    <w:rPr>
      <w:color w:val="605E5C"/>
      <w:shd w:val="clear" w:color="auto" w:fill="E1DFDD"/>
    </w:rPr>
  </w:style>
  <w:style w:type="paragraph" w:customStyle="1" w:styleId="64">
    <w:name w:val="修订1"/>
    <w:hidden/>
    <w:semiHidden/>
    <w:qFormat/>
    <w:uiPriority w:val="99"/>
    <w:rPr>
      <w:rFonts w:ascii="Times New Roman" w:hAnsi="Times New Roman" w:cs="Times New Roman" w:eastAsiaTheme="minorEastAsia"/>
      <w:lang w:val="en-US" w:eastAsia="zh-CN" w:bidi="ar-SA"/>
    </w:rPr>
  </w:style>
  <w:style w:type="character" w:customStyle="1" w:styleId="65">
    <w:name w:val="标题 6 字符"/>
    <w:basedOn w:val="14"/>
    <w:link w:val="4"/>
    <w:autoRedefine/>
    <w:semiHidden/>
    <w:qFormat/>
    <w:uiPriority w:val="9"/>
    <w:rPr>
      <w:rFonts w:asciiTheme="majorHAnsi" w:hAnsiTheme="majorHAnsi" w:eastAsiaTheme="majorEastAsia" w:cstheme="majorBidi"/>
      <w:color w:val="254061" w:themeColor="accent1" w:themeShade="80"/>
    </w:rPr>
  </w:style>
  <w:style w:type="paragraph" w:customStyle="1" w:styleId="66">
    <w:name w:val="Document 1"/>
    <w:autoRedefine/>
    <w:qFormat/>
    <w:uiPriority w:val="0"/>
    <w:pPr>
      <w:keepNext/>
      <w:keepLines/>
      <w:tabs>
        <w:tab w:val="left" w:pos="-720"/>
      </w:tabs>
      <w:suppressAutoHyphens/>
    </w:pPr>
    <w:rPr>
      <w:rFonts w:ascii="Courier" w:hAnsi="Courier" w:eastAsia="PMingLiU" w:cs="Times New Roman"/>
      <w:lang w:val="en-US" w:eastAsia="en-US" w:bidi="ar-SA"/>
    </w:rPr>
  </w:style>
  <w:style w:type="character" w:customStyle="1" w:styleId="67">
    <w:name w:val="未处理的提及1"/>
    <w:basedOn w:val="14"/>
    <w:autoRedefine/>
    <w:semiHidden/>
    <w:unhideWhenUsed/>
    <w:qFormat/>
    <w:uiPriority w:val="99"/>
    <w:rPr>
      <w:color w:val="605E5C"/>
      <w:shd w:val="clear" w:color="auto" w:fill="E1DFDD"/>
    </w:rPr>
  </w:style>
  <w:style w:type="paragraph" w:customStyle="1" w:styleId="68">
    <w:name w:val="Revision2"/>
    <w:hidden/>
    <w:unhideWhenUsed/>
    <w:uiPriority w:val="99"/>
    <w:rPr>
      <w:rFonts w:ascii="Times New Roman" w:hAnsi="Times New Roman" w:cs="Times New Roman" w:eastAsiaTheme="minorEastAsia"/>
      <w:lang w:val="en-US" w:eastAsia="zh-CN" w:bidi="ar-SA"/>
    </w:rPr>
  </w:style>
  <w:style w:type="paragraph" w:customStyle="1" w:styleId="69">
    <w:name w:val="Revision"/>
    <w:hidden/>
    <w:unhideWhenUsed/>
    <w:uiPriority w:val="99"/>
    <w:rPr>
      <w:rFonts w:ascii="Times New Roman" w:hAnsi="Times New Roman" w:cs="Times New Roman"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package" Target="embeddings/Workbook1.xlsx"/><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The%20Sackett%20Group\MacPac\Templates\MacPac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CD10-432A-4D6C-BB3D-C0EF32BB90E2}">
  <ds:schemaRefs/>
</ds:datastoreItem>
</file>

<file path=docProps/app.xml><?xml version="1.0" encoding="utf-8"?>
<Properties xmlns="http://schemas.openxmlformats.org/officeDocument/2006/extended-properties" xmlns:vt="http://schemas.openxmlformats.org/officeDocument/2006/docPropsVTypes">
  <Template>MacPacNormal.dotx</Template>
  <Pages>3</Pages>
  <Words>617</Words>
  <Characters>3515</Characters>
  <Lines>89</Lines>
  <Paragraphs>28</Paragraphs>
  <TotalTime>23</TotalTime>
  <ScaleCrop>false</ScaleCrop>
  <LinksUpToDate>false</LinksUpToDate>
  <CharactersWithSpaces>4103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2025-04-08T08:07:00Z</dcterms:created>
  <dc:creator>Nicole Han</dc:creator>
  <cp:lastModifiedBy>肖夢溪 Nancy Xiao</cp:lastModifiedBy>
  <dcterms:modified xsi:type="dcterms:W3CDTF">2025-04-08T14:03:27Z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96E27CD767D4491BA35046C3AD3FF518_13</vt:lpwstr>
  </property>
  <property fmtid="{D5CDD505-2E9C-101B-9397-08002B2CF9AE}" pid="4" name="KSOTemplateDocerSaveRecord">
    <vt:lpwstr>eyJoZGlkIjoiODViY2JkMjU3NGYzZTEwMzZmMGFkZWViYmNkYWU3NDIiLCJ1c2VySWQiOiI4NDA4NjI5ODEifQ==</vt:lpwstr>
  </property>
</Properties>
</file>